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13" w:rsidRDefault="004B4413">
      <w:pPr>
        <w:pStyle w:val="Standard"/>
      </w:pPr>
    </w:p>
    <w:p w:rsidR="004B4413" w:rsidRDefault="004B4413">
      <w:pPr>
        <w:pStyle w:val="Standard"/>
      </w:pPr>
    </w:p>
    <w:p w:rsidR="004B4413" w:rsidRDefault="004B4413">
      <w:pPr>
        <w:pStyle w:val="Standard"/>
      </w:pPr>
    </w:p>
    <w:p w:rsidR="004B4413" w:rsidRDefault="00BD5E8B">
      <w:pPr>
        <w:pStyle w:val="Standard"/>
      </w:pPr>
      <w:r>
        <w:t xml:space="preserve">                        </w:t>
      </w:r>
      <w:r w:rsidR="00E7600F">
        <w:t xml:space="preserve">  </w:t>
      </w:r>
      <w:r>
        <w:t xml:space="preserve">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6"/>
        <w:gridCol w:w="1786"/>
      </w:tblGrid>
      <w:tr w:rsidR="00A7017C" w:rsidTr="00FD16AE">
        <w:tc>
          <w:tcPr>
            <w:tcW w:w="1786" w:type="dxa"/>
          </w:tcPr>
          <w:p w:rsidR="00A7017C" w:rsidRDefault="00A7017C">
            <w:pPr>
              <w:pStyle w:val="Standard"/>
            </w:pPr>
            <w:r>
              <w:t>Moc PLUSY</w:t>
            </w:r>
          </w:p>
          <w:p w:rsidR="00A7017C" w:rsidRDefault="00A7017C">
            <w:pPr>
              <w:pStyle w:val="Standard"/>
            </w:pPr>
            <w:r>
              <w:t>MIESIECZNE</w:t>
            </w:r>
          </w:p>
        </w:tc>
        <w:tc>
          <w:tcPr>
            <w:tcW w:w="1786" w:type="dxa"/>
          </w:tcPr>
          <w:p w:rsidR="00A7017C" w:rsidRDefault="00A7017C">
            <w:pPr>
              <w:pStyle w:val="Standard"/>
            </w:pPr>
            <w:r>
              <w:t>sztuk</w:t>
            </w:r>
          </w:p>
        </w:tc>
      </w:tr>
      <w:tr w:rsidR="00A7017C" w:rsidTr="00FD16AE">
        <w:tc>
          <w:tcPr>
            <w:tcW w:w="1786" w:type="dxa"/>
          </w:tcPr>
          <w:p w:rsidR="00A7017C" w:rsidRDefault="00A7017C" w:rsidP="00D775BD">
            <w:pPr>
              <w:pStyle w:val="Standard"/>
            </w:pPr>
            <w:r>
              <w:t>0,50</w:t>
            </w:r>
          </w:p>
          <w:p w:rsidR="00A7017C" w:rsidRDefault="00A7017C" w:rsidP="00D775BD">
            <w:pPr>
              <w:pStyle w:val="Standard"/>
            </w:pPr>
          </w:p>
        </w:tc>
        <w:tc>
          <w:tcPr>
            <w:tcW w:w="1786" w:type="dxa"/>
          </w:tcPr>
          <w:p w:rsidR="00A7017C" w:rsidRDefault="00A7017C" w:rsidP="00D775BD">
            <w:pPr>
              <w:pStyle w:val="Standard"/>
            </w:pPr>
            <w:r>
              <w:t>0</w:t>
            </w:r>
          </w:p>
        </w:tc>
      </w:tr>
      <w:tr w:rsidR="00A7017C" w:rsidTr="00FD16AE">
        <w:tc>
          <w:tcPr>
            <w:tcW w:w="1786" w:type="dxa"/>
          </w:tcPr>
          <w:p w:rsidR="00A7017C" w:rsidRDefault="00A7017C" w:rsidP="00D775BD">
            <w:pPr>
              <w:pStyle w:val="Standard"/>
            </w:pPr>
          </w:p>
          <w:p w:rsidR="00A7017C" w:rsidRDefault="00A7017C" w:rsidP="00D775BD">
            <w:pPr>
              <w:pStyle w:val="Standard"/>
            </w:pPr>
            <w:r>
              <w:t>0,75</w:t>
            </w:r>
          </w:p>
        </w:tc>
        <w:tc>
          <w:tcPr>
            <w:tcW w:w="1786" w:type="dxa"/>
          </w:tcPr>
          <w:p w:rsidR="00A7017C" w:rsidRDefault="00A7017C" w:rsidP="00D775BD">
            <w:pPr>
              <w:pStyle w:val="Standard"/>
            </w:pPr>
          </w:p>
          <w:p w:rsidR="00A7017C" w:rsidRDefault="008C7B68" w:rsidP="00D775BD">
            <w:pPr>
              <w:pStyle w:val="Standard"/>
            </w:pPr>
            <w:r>
              <w:t>1</w:t>
            </w:r>
          </w:p>
        </w:tc>
      </w:tr>
      <w:tr w:rsidR="00A7017C" w:rsidTr="00FD16AE">
        <w:tc>
          <w:tcPr>
            <w:tcW w:w="1786" w:type="dxa"/>
          </w:tcPr>
          <w:p w:rsidR="00A7017C" w:rsidRDefault="00A7017C" w:rsidP="00D775BD">
            <w:pPr>
              <w:pStyle w:val="Standard"/>
            </w:pPr>
          </w:p>
          <w:p w:rsidR="00A7017C" w:rsidRDefault="00A7017C" w:rsidP="00D775BD">
            <w:pPr>
              <w:pStyle w:val="Standard"/>
            </w:pPr>
            <w:r>
              <w:t>1,00</w:t>
            </w:r>
          </w:p>
        </w:tc>
        <w:tc>
          <w:tcPr>
            <w:tcW w:w="1786" w:type="dxa"/>
          </w:tcPr>
          <w:p w:rsidR="00A7017C" w:rsidRDefault="00A7017C" w:rsidP="00D775BD">
            <w:pPr>
              <w:pStyle w:val="Standard"/>
            </w:pPr>
          </w:p>
        </w:tc>
      </w:tr>
      <w:tr w:rsidR="00A7017C" w:rsidTr="00FD16AE">
        <w:tc>
          <w:tcPr>
            <w:tcW w:w="1786" w:type="dxa"/>
          </w:tcPr>
          <w:p w:rsidR="00A7017C" w:rsidRDefault="00A7017C" w:rsidP="00D775BD">
            <w:pPr>
              <w:pStyle w:val="Standard"/>
            </w:pPr>
          </w:p>
          <w:p w:rsidR="00A7017C" w:rsidRDefault="00A7017C" w:rsidP="00D775BD">
            <w:pPr>
              <w:pStyle w:val="Standard"/>
            </w:pPr>
            <w:r>
              <w:t>1,25</w:t>
            </w:r>
          </w:p>
        </w:tc>
        <w:tc>
          <w:tcPr>
            <w:tcW w:w="1786" w:type="dxa"/>
          </w:tcPr>
          <w:p w:rsidR="00A7017C" w:rsidRDefault="00A7017C" w:rsidP="00D775BD">
            <w:pPr>
              <w:pStyle w:val="Standard"/>
            </w:pPr>
            <w:r>
              <w:t>3</w:t>
            </w:r>
          </w:p>
        </w:tc>
      </w:tr>
      <w:tr w:rsidR="00A7017C" w:rsidTr="00FD16AE">
        <w:tc>
          <w:tcPr>
            <w:tcW w:w="1786" w:type="dxa"/>
          </w:tcPr>
          <w:p w:rsidR="00A7017C" w:rsidRDefault="00A7017C" w:rsidP="00D775BD">
            <w:pPr>
              <w:pStyle w:val="Standard"/>
            </w:pPr>
          </w:p>
          <w:p w:rsidR="00A7017C" w:rsidRDefault="00A7017C" w:rsidP="00D775BD">
            <w:pPr>
              <w:pStyle w:val="Standard"/>
            </w:pPr>
            <w:r>
              <w:t>1,50</w:t>
            </w:r>
          </w:p>
        </w:tc>
        <w:tc>
          <w:tcPr>
            <w:tcW w:w="1786" w:type="dxa"/>
          </w:tcPr>
          <w:p w:rsidR="00A7017C" w:rsidRDefault="00A7017C" w:rsidP="00D775BD">
            <w:pPr>
              <w:pStyle w:val="Standard"/>
            </w:pPr>
            <w:r>
              <w:t>4</w:t>
            </w:r>
          </w:p>
        </w:tc>
      </w:tr>
      <w:tr w:rsidR="00A7017C" w:rsidTr="00FD16AE">
        <w:tc>
          <w:tcPr>
            <w:tcW w:w="1786" w:type="dxa"/>
          </w:tcPr>
          <w:p w:rsidR="00A7017C" w:rsidRDefault="00A7017C" w:rsidP="00D775BD">
            <w:pPr>
              <w:pStyle w:val="Standard"/>
            </w:pPr>
          </w:p>
          <w:p w:rsidR="00A7017C" w:rsidRDefault="00A7017C" w:rsidP="00D775BD">
            <w:pPr>
              <w:pStyle w:val="Standard"/>
            </w:pPr>
            <w:r>
              <w:t>1,75</w:t>
            </w:r>
          </w:p>
        </w:tc>
        <w:tc>
          <w:tcPr>
            <w:tcW w:w="1786" w:type="dxa"/>
          </w:tcPr>
          <w:p w:rsidR="00A7017C" w:rsidRDefault="00A7017C" w:rsidP="00D775BD">
            <w:pPr>
              <w:pStyle w:val="Standard"/>
            </w:pPr>
            <w:r>
              <w:t>5</w:t>
            </w:r>
          </w:p>
        </w:tc>
      </w:tr>
      <w:tr w:rsidR="00A7017C" w:rsidTr="00FD16AE">
        <w:tc>
          <w:tcPr>
            <w:tcW w:w="1786" w:type="dxa"/>
          </w:tcPr>
          <w:p w:rsidR="00A7017C" w:rsidRDefault="00A7017C" w:rsidP="00D775BD">
            <w:pPr>
              <w:pStyle w:val="Standard"/>
            </w:pPr>
          </w:p>
          <w:p w:rsidR="00A7017C" w:rsidRDefault="00A7017C" w:rsidP="00D775BD">
            <w:pPr>
              <w:pStyle w:val="Standard"/>
            </w:pPr>
            <w:r>
              <w:t>2,00</w:t>
            </w:r>
          </w:p>
        </w:tc>
        <w:tc>
          <w:tcPr>
            <w:tcW w:w="1786" w:type="dxa"/>
          </w:tcPr>
          <w:p w:rsidR="00A7017C" w:rsidRDefault="00A7017C" w:rsidP="00D775BD">
            <w:pPr>
              <w:pStyle w:val="Standard"/>
            </w:pPr>
            <w:r>
              <w:t>5</w:t>
            </w:r>
          </w:p>
        </w:tc>
      </w:tr>
      <w:tr w:rsidR="00A7017C" w:rsidTr="00FD16AE">
        <w:tc>
          <w:tcPr>
            <w:tcW w:w="1786" w:type="dxa"/>
          </w:tcPr>
          <w:p w:rsidR="00A7017C" w:rsidRDefault="00A7017C" w:rsidP="00D775BD">
            <w:pPr>
              <w:pStyle w:val="Standard"/>
            </w:pPr>
          </w:p>
          <w:p w:rsidR="00A7017C" w:rsidRDefault="00A7017C" w:rsidP="00D775BD">
            <w:pPr>
              <w:pStyle w:val="Standard"/>
            </w:pPr>
            <w:r>
              <w:t>2,25</w:t>
            </w:r>
          </w:p>
        </w:tc>
        <w:tc>
          <w:tcPr>
            <w:tcW w:w="1786" w:type="dxa"/>
          </w:tcPr>
          <w:p w:rsidR="00A7017C" w:rsidRDefault="00A7017C" w:rsidP="00D775BD">
            <w:pPr>
              <w:pStyle w:val="Standard"/>
            </w:pPr>
            <w:r>
              <w:t>5</w:t>
            </w:r>
          </w:p>
        </w:tc>
      </w:tr>
      <w:tr w:rsidR="00A7017C" w:rsidTr="00FD16AE">
        <w:tc>
          <w:tcPr>
            <w:tcW w:w="1786" w:type="dxa"/>
          </w:tcPr>
          <w:p w:rsidR="00A7017C" w:rsidRDefault="00A7017C" w:rsidP="00D775BD">
            <w:pPr>
              <w:pStyle w:val="Standard"/>
            </w:pPr>
          </w:p>
          <w:p w:rsidR="00A7017C" w:rsidRDefault="00A7017C" w:rsidP="00D775BD">
            <w:pPr>
              <w:pStyle w:val="Standard"/>
            </w:pPr>
            <w:r>
              <w:t>2,50</w:t>
            </w:r>
          </w:p>
        </w:tc>
        <w:tc>
          <w:tcPr>
            <w:tcW w:w="1786" w:type="dxa"/>
          </w:tcPr>
          <w:p w:rsidR="00A7017C" w:rsidRDefault="00A7017C" w:rsidP="00D775BD">
            <w:pPr>
              <w:pStyle w:val="Standard"/>
            </w:pPr>
            <w:r>
              <w:t>4</w:t>
            </w:r>
          </w:p>
        </w:tc>
      </w:tr>
      <w:tr w:rsidR="00A7017C" w:rsidTr="00FD16AE">
        <w:tc>
          <w:tcPr>
            <w:tcW w:w="1786" w:type="dxa"/>
          </w:tcPr>
          <w:p w:rsidR="00A7017C" w:rsidRDefault="00A7017C" w:rsidP="00D775BD">
            <w:pPr>
              <w:pStyle w:val="Standard"/>
            </w:pPr>
          </w:p>
          <w:p w:rsidR="00A7017C" w:rsidRDefault="00A7017C" w:rsidP="00D775BD">
            <w:pPr>
              <w:pStyle w:val="Standard"/>
            </w:pPr>
            <w:r>
              <w:t>2,75</w:t>
            </w:r>
          </w:p>
        </w:tc>
        <w:tc>
          <w:tcPr>
            <w:tcW w:w="1786" w:type="dxa"/>
          </w:tcPr>
          <w:p w:rsidR="00A7017C" w:rsidRDefault="008C7B68" w:rsidP="00D775BD">
            <w:pPr>
              <w:pStyle w:val="Standard"/>
            </w:pPr>
            <w:r>
              <w:t>5</w:t>
            </w:r>
          </w:p>
        </w:tc>
      </w:tr>
      <w:tr w:rsidR="00A7017C" w:rsidTr="00FD16AE">
        <w:tc>
          <w:tcPr>
            <w:tcW w:w="1786" w:type="dxa"/>
          </w:tcPr>
          <w:p w:rsidR="00A7017C" w:rsidRDefault="00A7017C" w:rsidP="00D775BD">
            <w:pPr>
              <w:pStyle w:val="Standard"/>
            </w:pPr>
          </w:p>
          <w:p w:rsidR="00A7017C" w:rsidRDefault="00A7017C" w:rsidP="00D775BD">
            <w:pPr>
              <w:pStyle w:val="Standard"/>
            </w:pPr>
            <w:r>
              <w:t>3,00</w:t>
            </w:r>
          </w:p>
        </w:tc>
        <w:tc>
          <w:tcPr>
            <w:tcW w:w="1786" w:type="dxa"/>
          </w:tcPr>
          <w:p w:rsidR="00A7017C" w:rsidRDefault="00A7017C" w:rsidP="00D775BD">
            <w:pPr>
              <w:pStyle w:val="Standard"/>
            </w:pPr>
            <w:r>
              <w:t>1</w:t>
            </w:r>
          </w:p>
        </w:tc>
      </w:tr>
      <w:tr w:rsidR="00A7017C" w:rsidTr="00FD16AE">
        <w:tc>
          <w:tcPr>
            <w:tcW w:w="1786" w:type="dxa"/>
          </w:tcPr>
          <w:p w:rsidR="00A7017C" w:rsidRDefault="00A7017C" w:rsidP="00D775BD">
            <w:pPr>
              <w:pStyle w:val="Standard"/>
            </w:pPr>
          </w:p>
          <w:p w:rsidR="00A7017C" w:rsidRDefault="00A7017C" w:rsidP="00D775BD">
            <w:pPr>
              <w:pStyle w:val="Standard"/>
            </w:pPr>
            <w:r>
              <w:t>3,25</w:t>
            </w:r>
          </w:p>
        </w:tc>
        <w:tc>
          <w:tcPr>
            <w:tcW w:w="1786" w:type="dxa"/>
          </w:tcPr>
          <w:p w:rsidR="00A7017C" w:rsidRDefault="00A7017C" w:rsidP="00D775BD">
            <w:pPr>
              <w:pStyle w:val="Standard"/>
            </w:pPr>
            <w:r>
              <w:t>2</w:t>
            </w:r>
          </w:p>
        </w:tc>
      </w:tr>
      <w:tr w:rsidR="00A7017C" w:rsidTr="00FD16AE">
        <w:tc>
          <w:tcPr>
            <w:tcW w:w="1786" w:type="dxa"/>
          </w:tcPr>
          <w:p w:rsidR="00A7017C" w:rsidRDefault="00A7017C" w:rsidP="00D775BD">
            <w:pPr>
              <w:pStyle w:val="Standard"/>
            </w:pPr>
          </w:p>
          <w:p w:rsidR="00A7017C" w:rsidRDefault="00A7017C" w:rsidP="00D775BD">
            <w:pPr>
              <w:pStyle w:val="Standard"/>
            </w:pPr>
            <w:r>
              <w:t>3,50</w:t>
            </w:r>
          </w:p>
        </w:tc>
        <w:tc>
          <w:tcPr>
            <w:tcW w:w="1786" w:type="dxa"/>
          </w:tcPr>
          <w:p w:rsidR="00A7017C" w:rsidRDefault="00A7017C" w:rsidP="00D775BD">
            <w:pPr>
              <w:pStyle w:val="Standard"/>
            </w:pPr>
            <w:r>
              <w:t>0</w:t>
            </w:r>
          </w:p>
        </w:tc>
      </w:tr>
      <w:tr w:rsidR="00A7017C" w:rsidTr="00FD16AE">
        <w:tc>
          <w:tcPr>
            <w:tcW w:w="1786" w:type="dxa"/>
          </w:tcPr>
          <w:p w:rsidR="00A7017C" w:rsidRDefault="00A7017C" w:rsidP="00D775BD">
            <w:pPr>
              <w:pStyle w:val="Standard"/>
            </w:pPr>
          </w:p>
          <w:p w:rsidR="00A7017C" w:rsidRDefault="00A7017C" w:rsidP="00D775BD">
            <w:pPr>
              <w:pStyle w:val="Standard"/>
            </w:pPr>
            <w:r>
              <w:t>3,75</w:t>
            </w:r>
          </w:p>
        </w:tc>
        <w:tc>
          <w:tcPr>
            <w:tcW w:w="1786" w:type="dxa"/>
          </w:tcPr>
          <w:p w:rsidR="00A7017C" w:rsidRDefault="00A7017C" w:rsidP="00D775BD">
            <w:pPr>
              <w:pStyle w:val="Standard"/>
            </w:pPr>
            <w:r>
              <w:t>5</w:t>
            </w:r>
          </w:p>
        </w:tc>
      </w:tr>
      <w:tr w:rsidR="00A7017C" w:rsidTr="00FD16AE">
        <w:tc>
          <w:tcPr>
            <w:tcW w:w="1786" w:type="dxa"/>
          </w:tcPr>
          <w:p w:rsidR="00A7017C" w:rsidRDefault="00A7017C" w:rsidP="00D775BD">
            <w:pPr>
              <w:pStyle w:val="Standard"/>
            </w:pPr>
          </w:p>
          <w:p w:rsidR="00A7017C" w:rsidRDefault="00A7017C" w:rsidP="00D775BD">
            <w:pPr>
              <w:pStyle w:val="Standard"/>
            </w:pPr>
            <w:r>
              <w:t>4,00</w:t>
            </w:r>
          </w:p>
        </w:tc>
        <w:tc>
          <w:tcPr>
            <w:tcW w:w="1786" w:type="dxa"/>
          </w:tcPr>
          <w:p w:rsidR="00A7017C" w:rsidRDefault="00A7017C" w:rsidP="00D775BD">
            <w:pPr>
              <w:pStyle w:val="Standard"/>
            </w:pPr>
            <w:r>
              <w:t>2</w:t>
            </w:r>
          </w:p>
        </w:tc>
      </w:tr>
      <w:tr w:rsidR="00A7017C" w:rsidTr="00FD16AE">
        <w:tc>
          <w:tcPr>
            <w:tcW w:w="1786" w:type="dxa"/>
          </w:tcPr>
          <w:p w:rsidR="00A7017C" w:rsidRDefault="00A7017C" w:rsidP="00D775BD">
            <w:pPr>
              <w:pStyle w:val="Standard"/>
            </w:pPr>
          </w:p>
          <w:p w:rsidR="00A7017C" w:rsidRDefault="00A7017C" w:rsidP="00D775BD">
            <w:pPr>
              <w:pStyle w:val="Standard"/>
            </w:pPr>
            <w:r>
              <w:t>4,25</w:t>
            </w:r>
          </w:p>
        </w:tc>
        <w:tc>
          <w:tcPr>
            <w:tcW w:w="1786" w:type="dxa"/>
          </w:tcPr>
          <w:p w:rsidR="00A7017C" w:rsidRDefault="00A7017C" w:rsidP="00D775BD">
            <w:pPr>
              <w:pStyle w:val="Standard"/>
            </w:pPr>
            <w:r>
              <w:t>0</w:t>
            </w:r>
          </w:p>
        </w:tc>
      </w:tr>
      <w:tr w:rsidR="00A7017C" w:rsidTr="00FD16AE">
        <w:tc>
          <w:tcPr>
            <w:tcW w:w="1786" w:type="dxa"/>
          </w:tcPr>
          <w:p w:rsidR="00A7017C" w:rsidRDefault="00A7017C" w:rsidP="00D775BD">
            <w:pPr>
              <w:pStyle w:val="Standard"/>
            </w:pPr>
          </w:p>
          <w:p w:rsidR="00A7017C" w:rsidRDefault="00A7017C" w:rsidP="00D775BD">
            <w:pPr>
              <w:pStyle w:val="Standard"/>
            </w:pPr>
            <w:r>
              <w:t>4,50</w:t>
            </w:r>
          </w:p>
        </w:tc>
        <w:tc>
          <w:tcPr>
            <w:tcW w:w="1786" w:type="dxa"/>
          </w:tcPr>
          <w:p w:rsidR="00A7017C" w:rsidRDefault="00A7017C" w:rsidP="00D775BD">
            <w:pPr>
              <w:pStyle w:val="Standard"/>
            </w:pPr>
            <w:r>
              <w:t>0</w:t>
            </w:r>
          </w:p>
        </w:tc>
      </w:tr>
      <w:tr w:rsidR="00A7017C" w:rsidTr="00FD16AE">
        <w:tc>
          <w:tcPr>
            <w:tcW w:w="1786" w:type="dxa"/>
          </w:tcPr>
          <w:p w:rsidR="00A7017C" w:rsidRDefault="00A7017C" w:rsidP="00D775BD">
            <w:pPr>
              <w:pStyle w:val="Standard"/>
            </w:pPr>
          </w:p>
          <w:p w:rsidR="00A7017C" w:rsidRDefault="00A7017C" w:rsidP="00D775BD">
            <w:pPr>
              <w:pStyle w:val="Standard"/>
            </w:pPr>
            <w:r>
              <w:t>4,75</w:t>
            </w:r>
          </w:p>
        </w:tc>
        <w:tc>
          <w:tcPr>
            <w:tcW w:w="1786" w:type="dxa"/>
          </w:tcPr>
          <w:p w:rsidR="00A7017C" w:rsidRDefault="00A7017C" w:rsidP="00D775BD">
            <w:pPr>
              <w:pStyle w:val="Standard"/>
            </w:pPr>
            <w:r>
              <w:t>0</w:t>
            </w:r>
          </w:p>
        </w:tc>
      </w:tr>
      <w:tr w:rsidR="00A7017C" w:rsidTr="00FD16AE">
        <w:tc>
          <w:tcPr>
            <w:tcW w:w="1786" w:type="dxa"/>
          </w:tcPr>
          <w:p w:rsidR="00A7017C" w:rsidRDefault="00A7017C" w:rsidP="00D775BD">
            <w:pPr>
              <w:pStyle w:val="Standard"/>
            </w:pPr>
          </w:p>
          <w:p w:rsidR="00A7017C" w:rsidRDefault="00A7017C" w:rsidP="00D775BD">
            <w:pPr>
              <w:pStyle w:val="Standard"/>
            </w:pPr>
            <w:r>
              <w:t>5,00</w:t>
            </w:r>
          </w:p>
        </w:tc>
        <w:tc>
          <w:tcPr>
            <w:tcW w:w="1786" w:type="dxa"/>
          </w:tcPr>
          <w:p w:rsidR="00A7017C" w:rsidRDefault="00A7017C" w:rsidP="00D775BD">
            <w:pPr>
              <w:pStyle w:val="Standard"/>
            </w:pPr>
            <w:r>
              <w:t>1</w:t>
            </w:r>
          </w:p>
        </w:tc>
      </w:tr>
      <w:tr w:rsidR="00A7017C" w:rsidTr="00FD16AE">
        <w:tc>
          <w:tcPr>
            <w:tcW w:w="1786" w:type="dxa"/>
          </w:tcPr>
          <w:p w:rsidR="00A7017C" w:rsidRDefault="00A7017C" w:rsidP="00D775BD">
            <w:pPr>
              <w:pStyle w:val="Standard"/>
            </w:pPr>
          </w:p>
          <w:p w:rsidR="00A7017C" w:rsidRDefault="00A7017C" w:rsidP="00D775BD">
            <w:pPr>
              <w:pStyle w:val="Standard"/>
            </w:pPr>
            <w:r>
              <w:t>5,25</w:t>
            </w:r>
          </w:p>
        </w:tc>
        <w:tc>
          <w:tcPr>
            <w:tcW w:w="1786" w:type="dxa"/>
          </w:tcPr>
          <w:p w:rsidR="00A7017C" w:rsidRDefault="00A7017C" w:rsidP="00D775BD">
            <w:pPr>
              <w:pStyle w:val="Standard"/>
            </w:pPr>
            <w:r>
              <w:t>0</w:t>
            </w:r>
          </w:p>
        </w:tc>
      </w:tr>
      <w:tr w:rsidR="00A7017C" w:rsidTr="00FD16AE">
        <w:tc>
          <w:tcPr>
            <w:tcW w:w="1786" w:type="dxa"/>
          </w:tcPr>
          <w:p w:rsidR="00A7017C" w:rsidRDefault="00A7017C" w:rsidP="00D775BD">
            <w:pPr>
              <w:pStyle w:val="Standard"/>
            </w:pPr>
          </w:p>
          <w:p w:rsidR="00A7017C" w:rsidRDefault="00A7017C" w:rsidP="00D775BD">
            <w:pPr>
              <w:pStyle w:val="Standard"/>
            </w:pPr>
            <w:r>
              <w:t>5,50</w:t>
            </w:r>
          </w:p>
        </w:tc>
        <w:tc>
          <w:tcPr>
            <w:tcW w:w="1786" w:type="dxa"/>
          </w:tcPr>
          <w:p w:rsidR="00A7017C" w:rsidRDefault="00A7017C" w:rsidP="00D775BD">
            <w:pPr>
              <w:pStyle w:val="Standard"/>
            </w:pPr>
            <w:r>
              <w:t>3</w:t>
            </w:r>
          </w:p>
        </w:tc>
      </w:tr>
    </w:tbl>
    <w:p w:rsidR="004B4413" w:rsidRDefault="004B4413">
      <w:pPr>
        <w:pStyle w:val="Standard"/>
      </w:pPr>
    </w:p>
    <w:p w:rsidR="00A7017C" w:rsidRDefault="00A7017C">
      <w:pPr>
        <w:pStyle w:val="Standard"/>
      </w:pPr>
      <w:r>
        <w:t>30 sztuk jednodniowych  o mocach</w:t>
      </w:r>
      <w:r w:rsidR="00652FC1">
        <w:t>:</w:t>
      </w:r>
    </w:p>
    <w:p w:rsidR="008C7B68" w:rsidRDefault="008C7B68">
      <w:pPr>
        <w:pStyle w:val="Standard"/>
      </w:pPr>
      <w:r>
        <w:t>+1,25</w:t>
      </w:r>
    </w:p>
    <w:p w:rsidR="00A7017C" w:rsidRDefault="00A7017C">
      <w:pPr>
        <w:pStyle w:val="Standard"/>
      </w:pPr>
      <w:r>
        <w:t>+1,50</w:t>
      </w:r>
    </w:p>
    <w:p w:rsidR="00A7017C" w:rsidRDefault="00A7017C">
      <w:pPr>
        <w:pStyle w:val="Standard"/>
      </w:pPr>
      <w:r>
        <w:t>+1,75</w:t>
      </w:r>
    </w:p>
    <w:p w:rsidR="00A7017C" w:rsidRDefault="00A7017C">
      <w:pPr>
        <w:pStyle w:val="Standard"/>
      </w:pPr>
      <w:r>
        <w:t>+2,25</w:t>
      </w:r>
    </w:p>
    <w:p w:rsidR="00A7017C" w:rsidRDefault="00A7017C">
      <w:pPr>
        <w:pStyle w:val="Standard"/>
      </w:pPr>
      <w:r>
        <w:lastRenderedPageBreak/>
        <w:t>+3,75</w:t>
      </w:r>
    </w:p>
    <w:p w:rsidR="00A7017C" w:rsidRDefault="00A7017C">
      <w:pPr>
        <w:pStyle w:val="Standard"/>
      </w:pPr>
      <w:r>
        <w:t>+5,50</w:t>
      </w:r>
    </w:p>
    <w:p w:rsidR="00A7017C" w:rsidRDefault="00A7017C">
      <w:pPr>
        <w:pStyle w:val="Standard"/>
      </w:pPr>
    </w:p>
    <w:p w:rsidR="00652FC1" w:rsidRDefault="00A7017C">
      <w:pPr>
        <w:pStyle w:val="Standard"/>
      </w:pPr>
      <w:r>
        <w:t>Jednodniowe</w:t>
      </w:r>
      <w:r w:rsidR="00652FC1">
        <w:t xml:space="preserve"> opakowanie 5 sztuk o mocach:</w:t>
      </w:r>
    </w:p>
    <w:p w:rsidR="00652FC1" w:rsidRDefault="00652FC1">
      <w:pPr>
        <w:pStyle w:val="Standard"/>
      </w:pPr>
      <w:r>
        <w:t>+1,25</w:t>
      </w:r>
    </w:p>
    <w:p w:rsidR="00A7017C" w:rsidRDefault="00A7017C">
      <w:pPr>
        <w:pStyle w:val="Standard"/>
      </w:pPr>
      <w:r>
        <w:t>+1,50</w:t>
      </w:r>
    </w:p>
    <w:p w:rsidR="00187AA4" w:rsidRDefault="00187AA4">
      <w:pPr>
        <w:pStyle w:val="Standard"/>
      </w:pPr>
      <w:r>
        <w:t>+1,50</w:t>
      </w:r>
    </w:p>
    <w:p w:rsidR="00A7017C" w:rsidRDefault="00A7017C">
      <w:pPr>
        <w:pStyle w:val="Standard"/>
      </w:pPr>
      <w:r>
        <w:t>+1,50</w:t>
      </w:r>
    </w:p>
    <w:p w:rsidR="00A7017C" w:rsidRDefault="00A7017C">
      <w:pPr>
        <w:pStyle w:val="Standard"/>
      </w:pPr>
      <w:r>
        <w:t>+1,75</w:t>
      </w:r>
    </w:p>
    <w:p w:rsidR="008C7B68" w:rsidRDefault="00A7017C">
      <w:pPr>
        <w:pStyle w:val="Standard"/>
      </w:pPr>
      <w:r>
        <w:t>+2,75</w:t>
      </w:r>
    </w:p>
    <w:p w:rsidR="008C7B68" w:rsidRDefault="008C7B68">
      <w:pPr>
        <w:pStyle w:val="Standard"/>
      </w:pPr>
      <w:r>
        <w:t>+5,50</w:t>
      </w:r>
    </w:p>
    <w:p w:rsidR="00652FC1" w:rsidRDefault="00652FC1">
      <w:pPr>
        <w:pStyle w:val="Standard"/>
      </w:pPr>
      <w:r>
        <w:t>Opakowanie po 3 sztuki miesięcznych o mocach:</w:t>
      </w:r>
    </w:p>
    <w:p w:rsidR="00652FC1" w:rsidRDefault="00652FC1">
      <w:pPr>
        <w:pStyle w:val="Standard"/>
      </w:pPr>
      <w:r>
        <w:t>+1,25</w:t>
      </w:r>
    </w:p>
    <w:p w:rsidR="00652FC1" w:rsidRDefault="00652FC1">
      <w:pPr>
        <w:pStyle w:val="Standard"/>
      </w:pPr>
      <w:r>
        <w:t>+1,50</w:t>
      </w:r>
    </w:p>
    <w:p w:rsidR="00652FC1" w:rsidRDefault="00652FC1">
      <w:pPr>
        <w:pStyle w:val="Standard"/>
      </w:pPr>
      <w:r>
        <w:t>+1,50</w:t>
      </w:r>
    </w:p>
    <w:p w:rsidR="00652FC1" w:rsidRDefault="00652FC1">
      <w:pPr>
        <w:pStyle w:val="Standard"/>
      </w:pPr>
      <w:r>
        <w:t>+1,50</w:t>
      </w:r>
    </w:p>
    <w:p w:rsidR="00652FC1" w:rsidRDefault="00652FC1">
      <w:pPr>
        <w:pStyle w:val="Standard"/>
      </w:pPr>
      <w:r>
        <w:t>+1,75</w:t>
      </w:r>
    </w:p>
    <w:p w:rsidR="00652FC1" w:rsidRDefault="00187AA4">
      <w:pPr>
        <w:pStyle w:val="Standard"/>
      </w:pPr>
      <w:r>
        <w:t>+2,25</w:t>
      </w:r>
    </w:p>
    <w:p w:rsidR="00187AA4" w:rsidRDefault="00187AA4">
      <w:pPr>
        <w:pStyle w:val="Standard"/>
      </w:pPr>
      <w:r>
        <w:t>+2,25</w:t>
      </w:r>
    </w:p>
    <w:p w:rsidR="00652FC1" w:rsidRDefault="00652FC1">
      <w:pPr>
        <w:pStyle w:val="Standard"/>
      </w:pPr>
      <w:r>
        <w:t>+2,75</w:t>
      </w:r>
    </w:p>
    <w:p w:rsidR="00652FC1" w:rsidRDefault="00652FC1">
      <w:pPr>
        <w:pStyle w:val="Standard"/>
      </w:pPr>
      <w:r>
        <w:t>+3,25</w:t>
      </w:r>
    </w:p>
    <w:p w:rsidR="00652FC1" w:rsidRDefault="00652FC1">
      <w:pPr>
        <w:pStyle w:val="Standard"/>
      </w:pPr>
      <w:r>
        <w:t>+3,75</w:t>
      </w:r>
    </w:p>
    <w:p w:rsidR="00187AA4" w:rsidRDefault="00187AA4">
      <w:pPr>
        <w:pStyle w:val="Standard"/>
      </w:pPr>
      <w:r>
        <w:t>+3,75</w:t>
      </w:r>
    </w:p>
    <w:p w:rsidR="00187AA4" w:rsidRDefault="00187AA4">
      <w:pPr>
        <w:pStyle w:val="Standard"/>
      </w:pPr>
      <w:r>
        <w:t>+3,75</w:t>
      </w:r>
      <w:bookmarkStart w:id="0" w:name="_GoBack"/>
      <w:bookmarkEnd w:id="0"/>
    </w:p>
    <w:p w:rsidR="00652FC1" w:rsidRDefault="00652FC1">
      <w:pPr>
        <w:pStyle w:val="Standard"/>
      </w:pPr>
      <w:r>
        <w:t>+5,50</w:t>
      </w:r>
    </w:p>
    <w:p w:rsidR="00A7017C" w:rsidRDefault="00A7017C">
      <w:pPr>
        <w:pStyle w:val="Standard"/>
      </w:pPr>
    </w:p>
    <w:sectPr w:rsidR="00A7017C">
      <w:pgSz w:w="11905" w:h="16837"/>
      <w:pgMar w:top="494" w:right="1140" w:bottom="1134" w:left="4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5C" w:rsidRDefault="0011215C">
      <w:r>
        <w:separator/>
      </w:r>
    </w:p>
  </w:endnote>
  <w:endnote w:type="continuationSeparator" w:id="0">
    <w:p w:rsidR="0011215C" w:rsidRDefault="0011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5C" w:rsidRDefault="0011215C">
      <w:r>
        <w:rPr>
          <w:color w:val="000000"/>
        </w:rPr>
        <w:ptab w:relativeTo="margin" w:alignment="center" w:leader="none"/>
      </w:r>
    </w:p>
  </w:footnote>
  <w:footnote w:type="continuationSeparator" w:id="0">
    <w:p w:rsidR="0011215C" w:rsidRDefault="00112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13"/>
    <w:rsid w:val="0005632B"/>
    <w:rsid w:val="000650D0"/>
    <w:rsid w:val="000934D0"/>
    <w:rsid w:val="000D4CE9"/>
    <w:rsid w:val="000E0E94"/>
    <w:rsid w:val="000E7D98"/>
    <w:rsid w:val="0011215C"/>
    <w:rsid w:val="00134261"/>
    <w:rsid w:val="00154504"/>
    <w:rsid w:val="001723F1"/>
    <w:rsid w:val="00176283"/>
    <w:rsid w:val="00187AA4"/>
    <w:rsid w:val="0020167A"/>
    <w:rsid w:val="0020534F"/>
    <w:rsid w:val="002A2294"/>
    <w:rsid w:val="002C7B1F"/>
    <w:rsid w:val="0036124F"/>
    <w:rsid w:val="00362BA6"/>
    <w:rsid w:val="00450DDB"/>
    <w:rsid w:val="004651A4"/>
    <w:rsid w:val="00486973"/>
    <w:rsid w:val="00490A1D"/>
    <w:rsid w:val="004B4413"/>
    <w:rsid w:val="004E052D"/>
    <w:rsid w:val="004E08D5"/>
    <w:rsid w:val="004E1198"/>
    <w:rsid w:val="00525CCF"/>
    <w:rsid w:val="005337BE"/>
    <w:rsid w:val="00566C6B"/>
    <w:rsid w:val="005B399B"/>
    <w:rsid w:val="0064585E"/>
    <w:rsid w:val="00652FC1"/>
    <w:rsid w:val="00653A0C"/>
    <w:rsid w:val="006E47B4"/>
    <w:rsid w:val="006F6416"/>
    <w:rsid w:val="00704CAB"/>
    <w:rsid w:val="00705598"/>
    <w:rsid w:val="007063A4"/>
    <w:rsid w:val="00711CA4"/>
    <w:rsid w:val="00721E5F"/>
    <w:rsid w:val="0073462E"/>
    <w:rsid w:val="007B6958"/>
    <w:rsid w:val="007B7AAB"/>
    <w:rsid w:val="00800D85"/>
    <w:rsid w:val="00811E1D"/>
    <w:rsid w:val="008126A0"/>
    <w:rsid w:val="008743CA"/>
    <w:rsid w:val="00884B2A"/>
    <w:rsid w:val="008854B2"/>
    <w:rsid w:val="0089369B"/>
    <w:rsid w:val="008A29CD"/>
    <w:rsid w:val="008C1A2D"/>
    <w:rsid w:val="008C26D3"/>
    <w:rsid w:val="008C7B68"/>
    <w:rsid w:val="008D6328"/>
    <w:rsid w:val="00940946"/>
    <w:rsid w:val="00A30B0C"/>
    <w:rsid w:val="00A30D5B"/>
    <w:rsid w:val="00A36ED0"/>
    <w:rsid w:val="00A5468C"/>
    <w:rsid w:val="00A7017C"/>
    <w:rsid w:val="00A71CC3"/>
    <w:rsid w:val="00A92296"/>
    <w:rsid w:val="00A934AD"/>
    <w:rsid w:val="00AB5D1A"/>
    <w:rsid w:val="00AE18D3"/>
    <w:rsid w:val="00AE2A1D"/>
    <w:rsid w:val="00AE63A7"/>
    <w:rsid w:val="00B073B9"/>
    <w:rsid w:val="00B3314F"/>
    <w:rsid w:val="00B424D9"/>
    <w:rsid w:val="00BC3A34"/>
    <w:rsid w:val="00BD5E8B"/>
    <w:rsid w:val="00BD62E3"/>
    <w:rsid w:val="00BF31FC"/>
    <w:rsid w:val="00BF3924"/>
    <w:rsid w:val="00BF7FCF"/>
    <w:rsid w:val="00C51187"/>
    <w:rsid w:val="00C64864"/>
    <w:rsid w:val="00CA59ED"/>
    <w:rsid w:val="00CE29BB"/>
    <w:rsid w:val="00CE6FB0"/>
    <w:rsid w:val="00D17C67"/>
    <w:rsid w:val="00D26374"/>
    <w:rsid w:val="00D775BD"/>
    <w:rsid w:val="00D77D9B"/>
    <w:rsid w:val="00D90EB0"/>
    <w:rsid w:val="00DE297B"/>
    <w:rsid w:val="00E0413B"/>
    <w:rsid w:val="00E07BE1"/>
    <w:rsid w:val="00E10C6F"/>
    <w:rsid w:val="00E12D60"/>
    <w:rsid w:val="00E42B87"/>
    <w:rsid w:val="00E444F8"/>
    <w:rsid w:val="00E535D4"/>
    <w:rsid w:val="00E63FCE"/>
    <w:rsid w:val="00E7600F"/>
    <w:rsid w:val="00EA3305"/>
    <w:rsid w:val="00EA768C"/>
    <w:rsid w:val="00EC4A53"/>
    <w:rsid w:val="00EE4A08"/>
    <w:rsid w:val="00F00022"/>
    <w:rsid w:val="00F3668F"/>
    <w:rsid w:val="00F65268"/>
    <w:rsid w:val="00F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1DAF"/>
  <w15:docId w15:val="{B068826A-2822-4390-AC9C-682BEA36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BD5E8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E8B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48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8CA4-7891-4285-AC0C-A626B725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 PZN</dc:creator>
  <cp:lastModifiedBy>Użytkownik systemu Windows</cp:lastModifiedBy>
  <cp:revision>4</cp:revision>
  <cp:lastPrinted>2020-03-12T11:14:00Z</cp:lastPrinted>
  <dcterms:created xsi:type="dcterms:W3CDTF">2020-06-04T10:34:00Z</dcterms:created>
  <dcterms:modified xsi:type="dcterms:W3CDTF">2020-11-03T09:29:00Z</dcterms:modified>
</cp:coreProperties>
</file>